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3CE44">
      <w:pPr>
        <w:pStyle w:val="7"/>
        <w:numPr>
          <w:ilvl w:val="0"/>
          <w:numId w:val="0"/>
        </w:numPr>
        <w:spacing w:line="360" w:lineRule="auto"/>
        <w:ind w:left="720" w:leftChars="0" w:hanging="720" w:firstLineChars="0"/>
        <w:rPr>
          <w:rFonts w:hint="eastAsia" w:ascii="方正黑体_GBK" w:hAnsi="方正黑体_GBK" w:eastAsia="方正黑体_GBK" w:cs="方正黑体_GBK"/>
          <w:b/>
          <w:kern w:val="2"/>
          <w:sz w:val="32"/>
          <w:szCs w:val="32"/>
          <w:lang w:val="en-US" w:eastAsia="zh-CN" w:bidi="ar-SA"/>
        </w:rPr>
      </w:pPr>
      <w:r>
        <w:rPr>
          <w:rFonts w:hint="eastAsia" w:ascii="方正黑体_GBK" w:hAnsi="方正黑体_GBK" w:eastAsia="方正黑体_GBK" w:cs="方正黑体_GBK"/>
          <w:b/>
          <w:kern w:val="2"/>
          <w:sz w:val="32"/>
          <w:szCs w:val="32"/>
          <w:lang w:val="en-US" w:eastAsia="zh-CN" w:bidi="ar-SA"/>
        </w:rPr>
        <w:t>附件1</w:t>
      </w:r>
    </w:p>
    <w:p w14:paraId="2ACEF5A8">
      <w:pPr>
        <w:pStyle w:val="7"/>
        <w:numPr>
          <w:ilvl w:val="0"/>
          <w:numId w:val="0"/>
        </w:numPr>
        <w:spacing w:line="360" w:lineRule="auto"/>
        <w:ind w:left="720" w:leftChars="0" w:hanging="720" w:firstLineChars="0"/>
        <w:rPr>
          <w:rFonts w:hint="eastAsia" w:ascii="方正黑体_GBK" w:hAnsi="方正黑体_GBK" w:eastAsia="方正黑体_GBK" w:cs="方正黑体_GBK"/>
          <w:b/>
          <w:kern w:val="2"/>
          <w:sz w:val="32"/>
          <w:szCs w:val="32"/>
          <w:lang w:val="en-US" w:eastAsia="zh-CN" w:bidi="ar-SA"/>
        </w:rPr>
      </w:pPr>
    </w:p>
    <w:p w14:paraId="63B20347">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Arial"/>
          <w:color w:val="auto"/>
          <w:sz w:val="24"/>
          <w:lang w:val="en-US" w:eastAsia="zh-CN"/>
        </w:rPr>
      </w:pPr>
      <w:r>
        <w:rPr>
          <w:rFonts w:hint="eastAsia" w:ascii="宋体" w:hAnsi="宋体" w:eastAsia="宋体" w:cs="Arial"/>
          <w:color w:val="auto"/>
          <w:sz w:val="24"/>
          <w:lang w:val="en-US" w:eastAsia="zh-CN"/>
        </w:rPr>
        <w:t>本次评标采用综合评分法。每一投标人的最终得分为所有评委给其评分的算术平均值。</w:t>
      </w:r>
    </w:p>
    <w:p w14:paraId="14FD9BC9">
      <w:pPr>
        <w:numPr>
          <w:ilvl w:val="0"/>
          <w:numId w:val="0"/>
        </w:numPr>
        <w:tabs>
          <w:tab w:val="left" w:pos="1134"/>
        </w:tabs>
        <w:snapToGrid w:val="0"/>
        <w:spacing w:line="360" w:lineRule="auto"/>
        <w:ind w:left="510" w:leftChars="0"/>
        <w:rPr>
          <w:rFonts w:hint="eastAsia" w:ascii="宋体" w:hAnsi="宋体" w:eastAsia="宋体" w:cs="Arial"/>
          <w:b/>
          <w:kern w:val="2"/>
          <w:sz w:val="24"/>
          <w:szCs w:val="24"/>
          <w:lang w:val="en-US" w:eastAsia="zh-CN" w:bidi="ar-SA"/>
        </w:rPr>
      </w:pPr>
      <w:r>
        <w:rPr>
          <w:rFonts w:hint="eastAsia" w:ascii="宋体" w:hAnsi="宋体" w:eastAsia="宋体" w:cs="Arial"/>
          <w:color w:val="auto"/>
          <w:sz w:val="24"/>
          <w:lang w:val="en-US" w:eastAsia="zh-CN"/>
        </w:rPr>
        <w:t>本项目评分标准为：</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86"/>
        <w:gridCol w:w="4187"/>
      </w:tblGrid>
      <w:tr w14:paraId="429DAB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4486" w:type="dxa"/>
            <w:noWrap w:val="0"/>
            <w:vAlign w:val="center"/>
          </w:tcPr>
          <w:p w14:paraId="61D9270A">
            <w:pPr>
              <w:spacing w:line="276" w:lineRule="auto"/>
              <w:jc w:val="center"/>
              <w:rPr>
                <w:rFonts w:ascii="宋体" w:hAnsi="宋体" w:eastAsia="宋体" w:cs="Arial"/>
                <w:b/>
                <w:kern w:val="2"/>
                <w:sz w:val="24"/>
                <w:szCs w:val="24"/>
                <w:lang w:val="en-US" w:eastAsia="zh-CN" w:bidi="ar-SA"/>
              </w:rPr>
            </w:pPr>
            <w:r>
              <w:rPr>
                <w:rFonts w:ascii="宋体" w:hAnsi="宋体" w:eastAsia="宋体" w:cs="Arial"/>
                <w:b/>
                <w:kern w:val="2"/>
                <w:sz w:val="24"/>
                <w:szCs w:val="24"/>
                <w:lang w:val="en-US" w:eastAsia="zh-CN" w:bidi="ar-SA"/>
              </w:rPr>
              <w:t>评分因素</w:t>
            </w:r>
          </w:p>
        </w:tc>
        <w:tc>
          <w:tcPr>
            <w:tcW w:w="4187" w:type="dxa"/>
            <w:noWrap w:val="0"/>
            <w:vAlign w:val="center"/>
          </w:tcPr>
          <w:p w14:paraId="4908D014">
            <w:pPr>
              <w:spacing w:line="276" w:lineRule="auto"/>
              <w:jc w:val="center"/>
              <w:rPr>
                <w:rFonts w:ascii="宋体" w:hAnsi="宋体" w:eastAsia="宋体" w:cs="Arial"/>
                <w:b/>
                <w:kern w:val="2"/>
                <w:sz w:val="24"/>
                <w:szCs w:val="24"/>
                <w:lang w:val="en-US" w:eastAsia="zh-CN" w:bidi="ar-SA"/>
              </w:rPr>
            </w:pPr>
            <w:r>
              <w:rPr>
                <w:rFonts w:ascii="宋体" w:hAnsi="宋体" w:eastAsia="宋体" w:cs="Arial"/>
                <w:b/>
                <w:kern w:val="2"/>
                <w:sz w:val="24"/>
                <w:szCs w:val="24"/>
                <w:lang w:val="en-US" w:eastAsia="zh-CN" w:bidi="ar-SA"/>
              </w:rPr>
              <w:t>分值分配</w:t>
            </w:r>
          </w:p>
        </w:tc>
      </w:tr>
      <w:tr w14:paraId="72FF7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86" w:type="dxa"/>
            <w:noWrap w:val="0"/>
            <w:vAlign w:val="center"/>
          </w:tcPr>
          <w:p w14:paraId="71F61308">
            <w:pPr>
              <w:spacing w:line="276" w:lineRule="auto"/>
              <w:jc w:val="center"/>
              <w:rPr>
                <w:rFonts w:ascii="宋体" w:hAnsi="宋体" w:cs="Arial"/>
                <w:sz w:val="24"/>
              </w:rPr>
            </w:pPr>
            <w:r>
              <w:rPr>
                <w:rFonts w:hint="eastAsia" w:ascii="宋体" w:hAnsi="宋体" w:cs="Arial"/>
                <w:sz w:val="24"/>
              </w:rPr>
              <w:t>价格部分</w:t>
            </w:r>
          </w:p>
        </w:tc>
        <w:tc>
          <w:tcPr>
            <w:tcW w:w="4187" w:type="dxa"/>
            <w:noWrap w:val="0"/>
            <w:vAlign w:val="center"/>
          </w:tcPr>
          <w:p w14:paraId="4C0EAAD2">
            <w:pPr>
              <w:spacing w:line="276" w:lineRule="auto"/>
              <w:jc w:val="center"/>
              <w:rPr>
                <w:rFonts w:ascii="宋体" w:hAnsi="宋体" w:cs="Arial"/>
                <w:sz w:val="24"/>
              </w:rPr>
            </w:pPr>
            <w:r>
              <w:rPr>
                <w:rFonts w:hint="eastAsia" w:ascii="宋体" w:hAnsi="宋体" w:cs="Arial"/>
                <w:sz w:val="24"/>
                <w:lang w:val="en-US" w:eastAsia="zh-CN"/>
              </w:rPr>
              <w:t>1</w:t>
            </w:r>
            <w:r>
              <w:rPr>
                <w:rFonts w:hint="eastAsia" w:ascii="宋体" w:hAnsi="宋体" w:cs="Arial"/>
                <w:sz w:val="24"/>
              </w:rPr>
              <w:t>0分</w:t>
            </w:r>
          </w:p>
        </w:tc>
      </w:tr>
      <w:tr w14:paraId="28FEB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86" w:type="dxa"/>
            <w:noWrap w:val="0"/>
            <w:vAlign w:val="center"/>
          </w:tcPr>
          <w:p w14:paraId="3D1CEEC2">
            <w:pPr>
              <w:spacing w:line="276" w:lineRule="auto"/>
              <w:jc w:val="center"/>
              <w:rPr>
                <w:rFonts w:ascii="宋体" w:hAnsi="宋体" w:cs="Arial"/>
                <w:sz w:val="24"/>
              </w:rPr>
            </w:pPr>
            <w:r>
              <w:rPr>
                <w:rFonts w:hint="eastAsia" w:ascii="宋体" w:hAnsi="宋体" w:cs="Calibri"/>
                <w:kern w:val="0"/>
                <w:sz w:val="24"/>
              </w:rPr>
              <w:t>商务部分</w:t>
            </w:r>
          </w:p>
        </w:tc>
        <w:tc>
          <w:tcPr>
            <w:tcW w:w="4187" w:type="dxa"/>
            <w:noWrap w:val="0"/>
            <w:vAlign w:val="center"/>
          </w:tcPr>
          <w:p w14:paraId="1E5A958E">
            <w:pPr>
              <w:spacing w:line="276" w:lineRule="auto"/>
              <w:jc w:val="center"/>
              <w:rPr>
                <w:rFonts w:ascii="宋体" w:hAnsi="宋体" w:cs="Arial"/>
                <w:sz w:val="24"/>
              </w:rPr>
            </w:pPr>
            <w:r>
              <w:rPr>
                <w:rFonts w:hint="eastAsia" w:ascii="宋体" w:hAnsi="宋体" w:cs="Arial"/>
                <w:sz w:val="24"/>
                <w:lang w:val="en-US" w:eastAsia="zh-CN"/>
              </w:rPr>
              <w:t>20</w:t>
            </w:r>
            <w:r>
              <w:rPr>
                <w:rFonts w:hint="eastAsia" w:ascii="宋体" w:hAnsi="宋体" w:cs="Arial"/>
                <w:sz w:val="24"/>
              </w:rPr>
              <w:t>分</w:t>
            </w:r>
          </w:p>
        </w:tc>
      </w:tr>
      <w:tr w14:paraId="3FE60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86" w:type="dxa"/>
            <w:noWrap w:val="0"/>
            <w:vAlign w:val="center"/>
          </w:tcPr>
          <w:p w14:paraId="17B76ADA">
            <w:pPr>
              <w:spacing w:line="276" w:lineRule="auto"/>
              <w:jc w:val="center"/>
              <w:rPr>
                <w:rFonts w:ascii="宋体" w:hAnsi="宋体" w:cs="Calibri"/>
                <w:kern w:val="0"/>
                <w:sz w:val="24"/>
              </w:rPr>
            </w:pPr>
            <w:r>
              <w:rPr>
                <w:rFonts w:hint="eastAsia" w:ascii="宋体" w:hAnsi="宋体" w:cs="Calibri"/>
                <w:kern w:val="0"/>
                <w:sz w:val="24"/>
              </w:rPr>
              <w:t>技术部分</w:t>
            </w:r>
          </w:p>
        </w:tc>
        <w:tc>
          <w:tcPr>
            <w:tcW w:w="4187" w:type="dxa"/>
            <w:noWrap w:val="0"/>
            <w:vAlign w:val="center"/>
          </w:tcPr>
          <w:p w14:paraId="33242A99">
            <w:pPr>
              <w:spacing w:line="276" w:lineRule="auto"/>
              <w:jc w:val="center"/>
              <w:rPr>
                <w:rFonts w:ascii="宋体" w:hAnsi="宋体" w:cs="Arial"/>
                <w:sz w:val="24"/>
              </w:rPr>
            </w:pPr>
            <w:r>
              <w:rPr>
                <w:rFonts w:hint="eastAsia" w:ascii="宋体" w:hAnsi="宋体" w:cs="Arial"/>
                <w:sz w:val="24"/>
                <w:lang w:val="en-US" w:eastAsia="zh-CN"/>
              </w:rPr>
              <w:t>70</w:t>
            </w:r>
            <w:r>
              <w:rPr>
                <w:rFonts w:hint="eastAsia" w:ascii="宋体" w:hAnsi="宋体" w:cs="Arial"/>
                <w:sz w:val="24"/>
              </w:rPr>
              <w:t>分</w:t>
            </w:r>
          </w:p>
        </w:tc>
      </w:tr>
      <w:tr w14:paraId="3EEE25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86" w:type="dxa"/>
            <w:noWrap w:val="0"/>
            <w:vAlign w:val="center"/>
          </w:tcPr>
          <w:p w14:paraId="4A58EE23">
            <w:pPr>
              <w:spacing w:line="276" w:lineRule="auto"/>
              <w:jc w:val="center"/>
              <w:rPr>
                <w:rFonts w:ascii="宋体" w:hAnsi="宋体" w:cs="Arial"/>
                <w:sz w:val="24"/>
              </w:rPr>
            </w:pPr>
            <w:r>
              <w:rPr>
                <w:rFonts w:ascii="宋体" w:hAnsi="宋体" w:cs="Arial"/>
                <w:sz w:val="24"/>
              </w:rPr>
              <w:t>合计</w:t>
            </w:r>
          </w:p>
        </w:tc>
        <w:tc>
          <w:tcPr>
            <w:tcW w:w="4187" w:type="dxa"/>
            <w:noWrap w:val="0"/>
            <w:vAlign w:val="center"/>
          </w:tcPr>
          <w:p w14:paraId="413CE610">
            <w:pPr>
              <w:spacing w:line="276" w:lineRule="auto"/>
              <w:jc w:val="center"/>
              <w:rPr>
                <w:rFonts w:ascii="宋体" w:hAnsi="宋体" w:cs="Arial"/>
                <w:sz w:val="24"/>
              </w:rPr>
            </w:pPr>
            <w:r>
              <w:rPr>
                <w:rFonts w:ascii="宋体" w:hAnsi="宋体" w:cs="Arial"/>
                <w:sz w:val="24"/>
              </w:rPr>
              <w:t>100分</w:t>
            </w:r>
          </w:p>
        </w:tc>
      </w:tr>
    </w:tbl>
    <w:p w14:paraId="4CFD206A">
      <w:pPr>
        <w:pStyle w:val="7"/>
        <w:spacing w:line="360" w:lineRule="auto"/>
        <w:ind w:firstLine="0" w:firstLineChars="0"/>
        <w:rPr>
          <w:rFonts w:ascii="宋体" w:hAnsi="宋体" w:cs="Arial"/>
          <w:b/>
          <w:sz w:val="24"/>
        </w:rPr>
      </w:pPr>
    </w:p>
    <w:tbl>
      <w:tblPr>
        <w:tblStyle w:val="5"/>
        <w:tblpPr w:leftFromText="180" w:rightFromText="180" w:vertAnchor="text" w:horzAnchor="page" w:tblpX="1569" w:tblpY="297"/>
        <w:tblOverlap w:val="never"/>
        <w:tblW w:w="5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61"/>
        <w:gridCol w:w="1368"/>
        <w:gridCol w:w="7666"/>
      </w:tblGrid>
      <w:tr w14:paraId="429F6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4" w:hRule="atLeast"/>
        </w:trPr>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9195C">
            <w:pPr>
              <w:spacing w:line="276" w:lineRule="auto"/>
              <w:jc w:val="center"/>
              <w:rPr>
                <w:rFonts w:ascii="宋体" w:hAnsi="宋体" w:eastAsia="宋体" w:cs="Arial"/>
                <w:b/>
                <w:kern w:val="2"/>
                <w:sz w:val="24"/>
                <w:szCs w:val="24"/>
                <w:lang w:val="en-US" w:eastAsia="zh-CN" w:bidi="ar-SA"/>
              </w:rPr>
            </w:pPr>
            <w:r>
              <w:rPr>
                <w:rFonts w:hint="eastAsia" w:ascii="宋体" w:hAnsi="宋体" w:eastAsia="宋体" w:cs="Arial"/>
                <w:b/>
                <w:kern w:val="2"/>
                <w:sz w:val="24"/>
                <w:szCs w:val="24"/>
                <w:lang w:val="en-US" w:eastAsia="zh-CN" w:bidi="ar-SA"/>
              </w:rPr>
              <w:t>评审内容</w:t>
            </w: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26669">
            <w:pPr>
              <w:spacing w:line="276" w:lineRule="auto"/>
              <w:jc w:val="center"/>
              <w:rPr>
                <w:rFonts w:hint="eastAsia" w:ascii="宋体" w:hAnsi="宋体" w:eastAsia="宋体" w:cs="Arial"/>
                <w:b/>
                <w:kern w:val="2"/>
                <w:sz w:val="24"/>
                <w:szCs w:val="24"/>
                <w:lang w:val="en-US" w:eastAsia="zh-CN" w:bidi="ar-SA"/>
              </w:rPr>
            </w:pPr>
            <w:r>
              <w:rPr>
                <w:rFonts w:hint="eastAsia" w:ascii="宋体" w:hAnsi="宋体" w:eastAsia="宋体" w:cs="Arial"/>
                <w:b/>
                <w:kern w:val="2"/>
                <w:sz w:val="24"/>
                <w:szCs w:val="24"/>
                <w:lang w:val="en-US" w:eastAsia="zh-CN" w:bidi="ar-SA"/>
              </w:rPr>
              <w:t>分值</w:t>
            </w:r>
          </w:p>
        </w:tc>
        <w:tc>
          <w:tcPr>
            <w:tcW w:w="3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83770">
            <w:pPr>
              <w:spacing w:line="276" w:lineRule="auto"/>
              <w:jc w:val="center"/>
              <w:rPr>
                <w:rFonts w:hint="eastAsia" w:ascii="宋体" w:hAnsi="宋体" w:eastAsia="宋体" w:cs="Arial"/>
                <w:b/>
                <w:kern w:val="2"/>
                <w:sz w:val="24"/>
                <w:szCs w:val="24"/>
                <w:lang w:val="en-US" w:eastAsia="zh-CN" w:bidi="ar-SA"/>
              </w:rPr>
            </w:pPr>
            <w:r>
              <w:rPr>
                <w:rFonts w:hint="eastAsia" w:ascii="宋体" w:hAnsi="宋体" w:eastAsia="宋体" w:cs="Arial"/>
                <w:b/>
                <w:kern w:val="2"/>
                <w:sz w:val="24"/>
                <w:szCs w:val="24"/>
                <w:lang w:val="en-US" w:eastAsia="zh-CN" w:bidi="ar-SA"/>
              </w:rPr>
              <w:t>评审标准</w:t>
            </w:r>
          </w:p>
        </w:tc>
      </w:tr>
      <w:tr w14:paraId="6447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1" w:hRule="atLeast"/>
        </w:trPr>
        <w:tc>
          <w:tcPr>
            <w:tcW w:w="4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198E5">
            <w:pPr>
              <w:keepNext w:val="0"/>
              <w:keepLines w:val="0"/>
              <w:widowControl/>
              <w:suppressLineNumbers w:val="0"/>
              <w:jc w:val="center"/>
              <w:textAlignment w:val="center"/>
              <w:rPr>
                <w:rFonts w:hint="eastAsia" w:ascii="幼圆" w:hAnsi="幼圆" w:eastAsia="幼圆" w:cs="幼圆"/>
                <w:b/>
                <w:i w:val="0"/>
                <w:color w:val="000000"/>
                <w:sz w:val="22"/>
                <w:szCs w:val="22"/>
                <w:u w:val="none"/>
              </w:rPr>
            </w:pPr>
            <w:r>
              <w:rPr>
                <w:rFonts w:hint="eastAsia" w:ascii="宋体" w:hAnsi="宋体" w:eastAsia="宋体" w:cs="Arial"/>
                <w:b/>
                <w:kern w:val="2"/>
                <w:sz w:val="24"/>
                <w:szCs w:val="24"/>
                <w:lang w:val="en-US" w:eastAsia="zh-CN" w:bidi="ar-SA"/>
              </w:rPr>
              <w:t>价格部分</w:t>
            </w:r>
            <w:r>
              <w:rPr>
                <w:rFonts w:hint="eastAsia" w:ascii="宋体" w:hAnsi="宋体" w:cs="Arial"/>
                <w:b/>
                <w:kern w:val="2"/>
                <w:sz w:val="24"/>
                <w:szCs w:val="24"/>
                <w:lang w:val="en-US" w:eastAsia="zh-CN" w:bidi="ar-SA"/>
              </w:rPr>
              <w:t>10</w:t>
            </w:r>
            <w:r>
              <w:rPr>
                <w:rFonts w:hint="eastAsia" w:ascii="宋体" w:hAnsi="宋体" w:eastAsia="宋体" w:cs="Arial"/>
                <w:b/>
                <w:kern w:val="2"/>
                <w:sz w:val="24"/>
                <w:szCs w:val="24"/>
                <w:lang w:val="en-US" w:eastAsia="zh-CN" w:bidi="ar-SA"/>
              </w:rPr>
              <w:t>分</w:t>
            </w: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30D77">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报价10分</w:t>
            </w:r>
          </w:p>
        </w:tc>
        <w:tc>
          <w:tcPr>
            <w:tcW w:w="3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876FD">
            <w:pPr>
              <w:spacing w:line="276" w:lineRule="auto"/>
              <w:jc w:val="left"/>
              <w:rPr>
                <w:rFonts w:hint="default" w:ascii="宋体" w:hAnsi="宋体" w:cs="Calibri"/>
                <w:kern w:val="0"/>
                <w:sz w:val="24"/>
                <w:lang w:val="en-US"/>
              </w:rPr>
            </w:pPr>
            <w:r>
              <w:rPr>
                <w:rFonts w:hint="eastAsia" w:ascii="宋体" w:hAnsi="宋体" w:cs="Calibri"/>
                <w:kern w:val="0"/>
                <w:sz w:val="24"/>
                <w:lang w:val="en-US" w:eastAsia="zh-CN"/>
              </w:rPr>
              <w:t>常规类招标代理服务（货物、服务、工程））：按照发改委《招标代理服务收费管理暂行办法》（计价格[2002]1980号）中规定的招标代理服务收费标准，按照标准收费的折扣率进行得分计算，计算公式为：投标报价得分＝（（1-下浮最高折扣）/（1-投标下浮折扣））×10%×100；若招标代理服务费经过计算不足4000元，按4000元收取。</w:t>
            </w:r>
          </w:p>
        </w:tc>
      </w:tr>
      <w:tr w14:paraId="293D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2" w:hRule="atLeast"/>
        </w:trPr>
        <w:tc>
          <w:tcPr>
            <w:tcW w:w="48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FE326">
            <w:pPr>
              <w:keepNext w:val="0"/>
              <w:keepLines w:val="0"/>
              <w:widowControl/>
              <w:suppressLineNumbers w:val="0"/>
              <w:jc w:val="center"/>
              <w:textAlignment w:val="center"/>
              <w:rPr>
                <w:rFonts w:hint="eastAsia" w:ascii="幼圆" w:hAnsi="幼圆" w:eastAsia="幼圆" w:cs="幼圆"/>
                <w:b/>
                <w:i w:val="0"/>
                <w:color w:val="000000"/>
                <w:sz w:val="22"/>
                <w:szCs w:val="22"/>
                <w:u w:val="none"/>
              </w:rPr>
            </w:pPr>
            <w:r>
              <w:rPr>
                <w:rFonts w:hint="eastAsia" w:ascii="宋体" w:hAnsi="宋体" w:eastAsia="宋体" w:cs="Arial"/>
                <w:b/>
                <w:kern w:val="2"/>
                <w:sz w:val="24"/>
                <w:szCs w:val="24"/>
                <w:lang w:val="en-US" w:eastAsia="zh-CN" w:bidi="ar-SA"/>
              </w:rPr>
              <w:t>商务部分</w:t>
            </w:r>
            <w:r>
              <w:rPr>
                <w:rFonts w:hint="eastAsia" w:ascii="宋体" w:hAnsi="宋体" w:cs="Arial"/>
                <w:b/>
                <w:kern w:val="2"/>
                <w:sz w:val="24"/>
                <w:szCs w:val="24"/>
                <w:lang w:val="en-US" w:eastAsia="zh-CN" w:bidi="ar-SA"/>
              </w:rPr>
              <w:t>20</w:t>
            </w:r>
            <w:r>
              <w:rPr>
                <w:rFonts w:hint="eastAsia" w:ascii="宋体" w:hAnsi="宋体" w:eastAsia="宋体" w:cs="Arial"/>
                <w:b/>
                <w:kern w:val="2"/>
                <w:sz w:val="24"/>
                <w:szCs w:val="24"/>
                <w:lang w:val="en-US" w:eastAsia="zh-CN" w:bidi="ar-SA"/>
              </w:rPr>
              <w:t>分</w:t>
            </w: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1F0C8">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供应商实力</w:t>
            </w:r>
          </w:p>
          <w:p w14:paraId="06A77955">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（10分）</w:t>
            </w:r>
          </w:p>
        </w:tc>
        <w:tc>
          <w:tcPr>
            <w:tcW w:w="3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BF105">
            <w:pPr>
              <w:spacing w:line="276" w:lineRule="auto"/>
              <w:jc w:val="left"/>
              <w:rPr>
                <w:rFonts w:hint="eastAsia" w:ascii="宋体" w:hAnsi="宋体" w:eastAsia="宋体" w:cs="Calibri"/>
                <w:kern w:val="0"/>
                <w:sz w:val="24"/>
                <w:lang w:val="en-US" w:eastAsia="zh-CN"/>
              </w:rPr>
            </w:pPr>
            <w:r>
              <w:rPr>
                <w:rFonts w:hint="eastAsia" w:ascii="宋体" w:hAnsi="宋体" w:cs="Calibri"/>
                <w:kern w:val="0"/>
                <w:sz w:val="24"/>
                <w:lang w:val="en-US" w:eastAsia="zh-CN"/>
              </w:rPr>
              <w:t>1、</w:t>
            </w:r>
            <w:r>
              <w:rPr>
                <w:rFonts w:hint="eastAsia" w:ascii="宋体" w:hAnsi="宋体" w:cs="Calibri"/>
                <w:kern w:val="0"/>
                <w:sz w:val="24"/>
                <w:lang w:eastAsia="zh-CN"/>
              </w:rPr>
              <w:t>供应商</w:t>
            </w:r>
            <w:r>
              <w:rPr>
                <w:rFonts w:hint="eastAsia" w:ascii="宋体" w:hAnsi="宋体" w:eastAsia="宋体" w:cs="Calibri"/>
                <w:kern w:val="0"/>
                <w:sz w:val="24"/>
                <w:lang w:val="en-US" w:eastAsia="zh-CN"/>
              </w:rPr>
              <w:t>每缺少一项下述体系认证证书扣1分，满分3分：</w:t>
            </w:r>
          </w:p>
          <w:p w14:paraId="66A8C7AA">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质量管理体认证证书；</w:t>
            </w:r>
          </w:p>
          <w:p w14:paraId="00229281">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环境管理体系认证证书；</w:t>
            </w:r>
          </w:p>
          <w:p w14:paraId="52DCA16C">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职业健康安全管理体系认证证书。</w:t>
            </w:r>
          </w:p>
          <w:p w14:paraId="003DE086">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备注：提供有效期内的证书复印件或影印件及国家认证认可监督管理委员会信息中心认证证书查询结果截图，未提供不得分；</w:t>
            </w:r>
          </w:p>
          <w:p w14:paraId="03F0751B">
            <w:pPr>
              <w:spacing w:line="276" w:lineRule="auto"/>
              <w:jc w:val="left"/>
              <w:rPr>
                <w:rFonts w:ascii="宋体" w:hAnsi="宋体" w:eastAsia="宋体" w:cs="宋体"/>
                <w:sz w:val="24"/>
                <w:szCs w:val="24"/>
              </w:rPr>
            </w:pPr>
            <w:r>
              <w:rPr>
                <w:rFonts w:hint="eastAsia" w:ascii="宋体" w:hAnsi="宋体" w:cs="Calibri"/>
                <w:kern w:val="0"/>
                <w:sz w:val="24"/>
                <w:lang w:val="en-US" w:eastAsia="zh-CN"/>
              </w:rPr>
              <w:t>2、</w:t>
            </w:r>
            <w:r>
              <w:rPr>
                <w:rFonts w:ascii="宋体" w:hAnsi="宋体" w:eastAsia="宋体" w:cs="宋体"/>
                <w:sz w:val="24"/>
                <w:szCs w:val="24"/>
              </w:rPr>
              <w:t>2021年1月1日以来（以颁发时间为准），投标人获得行政主管部门或在国内依法登记注册的行业协会颁发的奖项或荣誉的：</w:t>
            </w:r>
            <w:r>
              <w:rPr>
                <w:rFonts w:ascii="宋体" w:hAnsi="宋体" w:eastAsia="宋体" w:cs="宋体"/>
                <w:sz w:val="24"/>
                <w:szCs w:val="24"/>
              </w:rPr>
              <w:br w:type="textWrapping"/>
            </w:r>
            <w:r>
              <w:rPr>
                <w:rFonts w:ascii="宋体" w:hAnsi="宋体" w:eastAsia="宋体" w:cs="宋体"/>
                <w:sz w:val="24"/>
                <w:szCs w:val="24"/>
              </w:rPr>
              <w:t>（1）国家级的，得2分；</w:t>
            </w:r>
            <w:r>
              <w:rPr>
                <w:rFonts w:ascii="宋体" w:hAnsi="宋体" w:eastAsia="宋体" w:cs="宋体"/>
                <w:sz w:val="24"/>
                <w:szCs w:val="24"/>
              </w:rPr>
              <w:br w:type="textWrapping"/>
            </w:r>
            <w:r>
              <w:rPr>
                <w:rFonts w:ascii="宋体" w:hAnsi="宋体" w:eastAsia="宋体" w:cs="宋体"/>
                <w:sz w:val="24"/>
                <w:szCs w:val="24"/>
              </w:rPr>
              <w:t>（2）省级的，得1.5分；</w:t>
            </w:r>
            <w:r>
              <w:rPr>
                <w:rFonts w:ascii="宋体" w:hAnsi="宋体" w:eastAsia="宋体" w:cs="宋体"/>
                <w:sz w:val="24"/>
                <w:szCs w:val="24"/>
              </w:rPr>
              <w:br w:type="textWrapping"/>
            </w:r>
            <w:r>
              <w:rPr>
                <w:rFonts w:ascii="宋体" w:hAnsi="宋体" w:eastAsia="宋体" w:cs="宋体"/>
                <w:sz w:val="24"/>
                <w:szCs w:val="24"/>
              </w:rPr>
              <w:t>（3）地市级的，得1分。</w:t>
            </w:r>
            <w:r>
              <w:rPr>
                <w:rFonts w:ascii="宋体" w:hAnsi="宋体" w:eastAsia="宋体" w:cs="宋体"/>
                <w:sz w:val="24"/>
                <w:szCs w:val="24"/>
              </w:rPr>
              <w:br w:type="textWrapping"/>
            </w:r>
            <w:r>
              <w:rPr>
                <w:rFonts w:ascii="宋体" w:hAnsi="宋体" w:eastAsia="宋体" w:cs="宋体"/>
                <w:sz w:val="24"/>
                <w:szCs w:val="24"/>
              </w:rPr>
              <w:t>以上奖项或荣誉可累计得分，满分7分。</w:t>
            </w:r>
            <w:r>
              <w:rPr>
                <w:rFonts w:ascii="宋体" w:hAnsi="宋体" w:eastAsia="宋体" w:cs="宋体"/>
                <w:sz w:val="24"/>
                <w:szCs w:val="24"/>
              </w:rPr>
              <w:br w:type="textWrapping"/>
            </w:r>
            <w:r>
              <w:rPr>
                <w:rFonts w:ascii="宋体" w:hAnsi="宋体" w:eastAsia="宋体" w:cs="宋体"/>
                <w:sz w:val="24"/>
                <w:szCs w:val="24"/>
              </w:rPr>
              <w:t>备注：</w:t>
            </w:r>
          </w:p>
          <w:p w14:paraId="783E135D">
            <w:pPr>
              <w:numPr>
                <w:ilvl w:val="0"/>
                <w:numId w:val="1"/>
              </w:numPr>
              <w:spacing w:line="276" w:lineRule="auto"/>
              <w:jc w:val="left"/>
              <w:rPr>
                <w:rFonts w:ascii="宋体" w:hAnsi="宋体" w:eastAsia="宋体" w:cs="宋体"/>
                <w:sz w:val="24"/>
                <w:szCs w:val="24"/>
              </w:rPr>
            </w:pPr>
            <w:r>
              <w:rPr>
                <w:rFonts w:ascii="宋体" w:hAnsi="宋体" w:eastAsia="宋体" w:cs="宋体"/>
                <w:sz w:val="24"/>
                <w:szCs w:val="24"/>
              </w:rPr>
              <w:t>奖项或荣誉以行政主管部门或国内依法登记注册的行业协会（或学会）颁发的奖项、荣誉为准。投标文件中提供获奖证书、批复、颁奖单位颁奖文件、网上公示截图（具有其中之一即可）等证明材料。以上材料提供扫描件，须能体现投标人名称等关键性评审因素，如无法体现，须另附颁奖单位的相关证明材料，未提供或提供不全的不得分；</w:t>
            </w:r>
          </w:p>
          <w:p w14:paraId="7AAB7962">
            <w:pPr>
              <w:numPr>
                <w:ilvl w:val="0"/>
                <w:numId w:val="0"/>
              </w:numPr>
              <w:spacing w:line="276" w:lineRule="auto"/>
              <w:jc w:val="left"/>
              <w:rPr>
                <w:rFonts w:hint="default" w:ascii="宋体" w:hAnsi="宋体" w:eastAsia="宋体" w:cs="Calibri"/>
                <w:kern w:val="0"/>
                <w:sz w:val="24"/>
                <w:lang w:val="en-US" w:eastAsia="zh-CN"/>
              </w:rPr>
            </w:pPr>
            <w:r>
              <w:rPr>
                <w:rFonts w:ascii="宋体" w:hAnsi="宋体" w:eastAsia="宋体" w:cs="宋体"/>
                <w:sz w:val="24"/>
                <w:szCs w:val="24"/>
              </w:rPr>
              <w:t>（2）“国内依法登记注册”以中国社会组织政务服务平台中“全国社会组织信用信息公示平台”查询结果为准。针对国内依法登记注册的行业协会（或学会）颁发的奖项或荣誉，投标文件中须提供该协会（或学会）在中国社会组织政务服务平台中“全国社会组织信用信息公示平台”查询结果截图，未提供或提供不全的不得分；</w:t>
            </w:r>
          </w:p>
        </w:tc>
      </w:tr>
      <w:tr w14:paraId="2552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F2E7B">
            <w:pPr>
              <w:jc w:val="center"/>
              <w:rPr>
                <w:rFonts w:hint="eastAsia" w:ascii="幼圆" w:hAnsi="幼圆" w:eastAsia="幼圆" w:cs="幼圆"/>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DABBB">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供应商业绩</w:t>
            </w:r>
          </w:p>
          <w:p w14:paraId="2E7E991A">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（10分）</w:t>
            </w:r>
          </w:p>
        </w:tc>
        <w:tc>
          <w:tcPr>
            <w:tcW w:w="3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6EF83">
            <w:pPr>
              <w:numPr>
                <w:ilvl w:val="0"/>
                <w:numId w:val="2"/>
              </w:numPr>
              <w:spacing w:line="276" w:lineRule="auto"/>
              <w:jc w:val="both"/>
              <w:rPr>
                <w:rFonts w:hint="eastAsia" w:ascii="宋体" w:hAnsi="宋体" w:cs="Calibri"/>
                <w:kern w:val="0"/>
                <w:sz w:val="24"/>
              </w:rPr>
            </w:pPr>
            <w:r>
              <w:rPr>
                <w:rFonts w:hint="eastAsia" w:ascii="宋体" w:hAnsi="宋体" w:cs="Calibri"/>
                <w:kern w:val="0"/>
                <w:sz w:val="24"/>
                <w:lang w:eastAsia="zh-CN"/>
              </w:rPr>
              <w:t>供应商</w:t>
            </w:r>
            <w:r>
              <w:rPr>
                <w:rFonts w:hint="eastAsia" w:ascii="宋体" w:hAnsi="宋体" w:cs="Calibri"/>
                <w:kern w:val="0"/>
                <w:sz w:val="24"/>
              </w:rPr>
              <w:t>提供自2021年1月1日至今</w:t>
            </w:r>
            <w:r>
              <w:rPr>
                <w:rFonts w:hint="eastAsia" w:ascii="宋体" w:hAnsi="宋体" w:cs="Calibri"/>
                <w:kern w:val="0"/>
                <w:sz w:val="24"/>
                <w:lang w:val="en-US" w:eastAsia="zh-CN"/>
              </w:rPr>
              <w:t>金融</w:t>
            </w:r>
            <w:r>
              <w:rPr>
                <w:rFonts w:hint="eastAsia" w:ascii="宋体" w:hAnsi="宋体" w:cs="Calibri"/>
                <w:kern w:val="0"/>
                <w:sz w:val="24"/>
              </w:rPr>
              <w:t>行业招标代理</w:t>
            </w:r>
            <w:r>
              <w:rPr>
                <w:rFonts w:hint="eastAsia" w:ascii="宋体" w:hAnsi="宋体" w:cs="Calibri"/>
                <w:kern w:val="0"/>
                <w:sz w:val="24"/>
                <w:lang w:val="en-US" w:eastAsia="zh-CN"/>
              </w:rPr>
              <w:t>年度框架协议</w:t>
            </w:r>
            <w:r>
              <w:rPr>
                <w:rFonts w:hint="eastAsia" w:ascii="宋体" w:hAnsi="宋体" w:cs="Calibri"/>
                <w:kern w:val="0"/>
                <w:sz w:val="24"/>
                <w:lang w:eastAsia="zh-CN"/>
              </w:rPr>
              <w:t>，</w:t>
            </w:r>
            <w:r>
              <w:rPr>
                <w:rFonts w:hint="eastAsia" w:ascii="宋体" w:hAnsi="宋体" w:cs="Calibri"/>
                <w:kern w:val="0"/>
                <w:sz w:val="24"/>
              </w:rPr>
              <w:t>每</w:t>
            </w:r>
            <w:r>
              <w:rPr>
                <w:rFonts w:hint="eastAsia" w:ascii="宋体" w:hAnsi="宋体" w:cs="Calibri"/>
                <w:kern w:val="0"/>
                <w:sz w:val="24"/>
                <w:lang w:val="en-US" w:eastAsia="zh-CN"/>
              </w:rPr>
              <w:t>提供1</w:t>
            </w:r>
            <w:r>
              <w:rPr>
                <w:rFonts w:hint="eastAsia" w:ascii="宋体" w:hAnsi="宋体" w:cs="Calibri"/>
                <w:kern w:val="0"/>
                <w:sz w:val="24"/>
              </w:rPr>
              <w:t>个年度框架协议</w:t>
            </w:r>
            <w:r>
              <w:rPr>
                <w:rFonts w:hint="eastAsia" w:ascii="宋体" w:hAnsi="宋体" w:cs="Calibri"/>
                <w:kern w:val="0"/>
                <w:sz w:val="24"/>
                <w:lang w:val="en-US" w:eastAsia="zh-CN"/>
              </w:rPr>
              <w:t>合同</w:t>
            </w:r>
            <w:r>
              <w:rPr>
                <w:rFonts w:hint="eastAsia" w:ascii="宋体" w:hAnsi="宋体" w:cs="Calibri"/>
                <w:kern w:val="0"/>
                <w:sz w:val="24"/>
              </w:rPr>
              <w:t>得</w:t>
            </w:r>
            <w:r>
              <w:rPr>
                <w:rFonts w:hint="eastAsia" w:ascii="宋体" w:hAnsi="宋体" w:cs="Calibri"/>
                <w:kern w:val="0"/>
                <w:sz w:val="24"/>
                <w:lang w:val="en-US" w:eastAsia="zh-CN"/>
              </w:rPr>
              <w:t>0.5</w:t>
            </w:r>
            <w:r>
              <w:rPr>
                <w:rFonts w:hint="eastAsia" w:ascii="宋体" w:hAnsi="宋体" w:cs="Calibri"/>
                <w:kern w:val="0"/>
                <w:sz w:val="24"/>
              </w:rPr>
              <w:t>分</w:t>
            </w:r>
            <w:r>
              <w:rPr>
                <w:rFonts w:hint="eastAsia" w:ascii="宋体" w:hAnsi="宋体" w:cs="Calibri"/>
                <w:kern w:val="0"/>
                <w:sz w:val="24"/>
                <w:lang w:eastAsia="zh-CN"/>
              </w:rPr>
              <w:t>，</w:t>
            </w:r>
            <w:r>
              <w:rPr>
                <w:rFonts w:hint="eastAsia" w:ascii="宋体" w:hAnsi="宋体" w:cs="Calibri"/>
                <w:kern w:val="0"/>
                <w:sz w:val="24"/>
              </w:rPr>
              <w:t>本项最高得5分。</w:t>
            </w:r>
          </w:p>
          <w:p w14:paraId="65CE3D3D">
            <w:pPr>
              <w:numPr>
                <w:ilvl w:val="0"/>
                <w:numId w:val="2"/>
              </w:numPr>
              <w:spacing w:line="276" w:lineRule="auto"/>
              <w:jc w:val="both"/>
              <w:rPr>
                <w:rFonts w:hint="eastAsia" w:ascii="宋体" w:hAnsi="宋体" w:cs="Calibri"/>
                <w:kern w:val="0"/>
                <w:sz w:val="24"/>
              </w:rPr>
            </w:pPr>
            <w:r>
              <w:rPr>
                <w:rFonts w:hint="eastAsia" w:ascii="宋体" w:hAnsi="宋体" w:cs="Calibri"/>
                <w:kern w:val="0"/>
                <w:sz w:val="24"/>
                <w:lang w:eastAsia="zh-CN"/>
              </w:rPr>
              <w:t>供应商</w:t>
            </w:r>
            <w:r>
              <w:rPr>
                <w:rFonts w:hint="eastAsia" w:ascii="宋体" w:hAnsi="宋体" w:cs="Calibri"/>
                <w:kern w:val="0"/>
                <w:sz w:val="24"/>
              </w:rPr>
              <w:t>提供自2021年1月1日至今</w:t>
            </w:r>
            <w:r>
              <w:rPr>
                <w:rFonts w:hint="eastAsia" w:ascii="宋体" w:hAnsi="宋体" w:cs="Calibri"/>
                <w:kern w:val="0"/>
                <w:sz w:val="24"/>
                <w:lang w:val="en-US" w:eastAsia="zh-CN"/>
              </w:rPr>
              <w:t>与政府机关或者事业单位或者国有企业签订过长期（至少一年）招标采购代理服务协议</w:t>
            </w:r>
            <w:r>
              <w:rPr>
                <w:rFonts w:hint="eastAsia" w:ascii="宋体" w:hAnsi="宋体" w:cs="Calibri"/>
                <w:kern w:val="0"/>
                <w:sz w:val="24"/>
                <w:lang w:eastAsia="zh-CN"/>
              </w:rPr>
              <w:t>，</w:t>
            </w:r>
            <w:r>
              <w:rPr>
                <w:rFonts w:hint="eastAsia" w:ascii="宋体" w:hAnsi="宋体" w:cs="Calibri"/>
                <w:kern w:val="0"/>
                <w:sz w:val="24"/>
              </w:rPr>
              <w:t>每</w:t>
            </w:r>
            <w:r>
              <w:rPr>
                <w:rFonts w:hint="eastAsia" w:ascii="宋体" w:hAnsi="宋体" w:cs="Calibri"/>
                <w:kern w:val="0"/>
                <w:sz w:val="24"/>
                <w:lang w:val="en-US" w:eastAsia="zh-CN"/>
              </w:rPr>
              <w:t>提供1</w:t>
            </w:r>
            <w:r>
              <w:rPr>
                <w:rFonts w:hint="eastAsia" w:ascii="宋体" w:hAnsi="宋体" w:cs="Calibri"/>
                <w:kern w:val="0"/>
                <w:sz w:val="24"/>
              </w:rPr>
              <w:t>个年度框架协议</w:t>
            </w:r>
            <w:r>
              <w:rPr>
                <w:rFonts w:hint="eastAsia" w:ascii="宋体" w:hAnsi="宋体" w:cs="Calibri"/>
                <w:kern w:val="0"/>
                <w:sz w:val="24"/>
                <w:lang w:val="en-US" w:eastAsia="zh-CN"/>
              </w:rPr>
              <w:t>合同</w:t>
            </w:r>
            <w:r>
              <w:rPr>
                <w:rFonts w:hint="eastAsia" w:ascii="宋体" w:hAnsi="宋体" w:cs="Calibri"/>
                <w:kern w:val="0"/>
                <w:sz w:val="24"/>
              </w:rPr>
              <w:t>得</w:t>
            </w:r>
            <w:r>
              <w:rPr>
                <w:rFonts w:hint="eastAsia" w:ascii="宋体" w:hAnsi="宋体" w:cs="Calibri"/>
                <w:kern w:val="0"/>
                <w:sz w:val="24"/>
                <w:lang w:val="en-US" w:eastAsia="zh-CN"/>
              </w:rPr>
              <w:t>0.5</w:t>
            </w:r>
            <w:r>
              <w:rPr>
                <w:rFonts w:hint="eastAsia" w:ascii="宋体" w:hAnsi="宋体" w:cs="Calibri"/>
                <w:kern w:val="0"/>
                <w:sz w:val="24"/>
              </w:rPr>
              <w:t>分</w:t>
            </w:r>
            <w:r>
              <w:rPr>
                <w:rFonts w:hint="eastAsia" w:ascii="宋体" w:hAnsi="宋体" w:cs="Calibri"/>
                <w:kern w:val="0"/>
                <w:sz w:val="24"/>
                <w:lang w:eastAsia="zh-CN"/>
              </w:rPr>
              <w:t>，</w:t>
            </w:r>
            <w:r>
              <w:rPr>
                <w:rFonts w:hint="eastAsia" w:ascii="宋体" w:hAnsi="宋体" w:cs="Calibri"/>
                <w:kern w:val="0"/>
                <w:sz w:val="24"/>
              </w:rPr>
              <w:t>本项最高得5分。</w:t>
            </w:r>
          </w:p>
          <w:p w14:paraId="5DA3D9C7">
            <w:pPr>
              <w:spacing w:line="276" w:lineRule="auto"/>
              <w:jc w:val="both"/>
              <w:rPr>
                <w:rFonts w:hint="eastAsia" w:ascii="宋体" w:hAnsi="宋体" w:cs="Calibri"/>
                <w:kern w:val="0"/>
                <w:sz w:val="24"/>
              </w:rPr>
            </w:pPr>
            <w:r>
              <w:rPr>
                <w:rFonts w:hint="eastAsia" w:ascii="宋体" w:hAnsi="宋体" w:cs="Calibri"/>
                <w:kern w:val="0"/>
                <w:sz w:val="24"/>
              </w:rPr>
              <w:t>注：需提供可反映评审要素的业绩合同扫描件等证明材料，若合同中无法完全体现上述评审因素，可出具合同接受服务方盖章的证明材料；金融行业指：银行业、保险业、信托业、证券业等。</w:t>
            </w:r>
          </w:p>
        </w:tc>
      </w:tr>
      <w:tr w14:paraId="4FF7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7" w:hRule="atLeast"/>
        </w:trPr>
        <w:tc>
          <w:tcPr>
            <w:tcW w:w="48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B567C">
            <w:pPr>
              <w:keepNext w:val="0"/>
              <w:keepLines w:val="0"/>
              <w:widowControl/>
              <w:suppressLineNumbers w:val="0"/>
              <w:jc w:val="center"/>
              <w:textAlignment w:val="center"/>
              <w:rPr>
                <w:rFonts w:hint="eastAsia" w:ascii="幼圆" w:hAnsi="幼圆" w:eastAsia="幼圆" w:cs="幼圆"/>
                <w:b/>
                <w:i w:val="0"/>
                <w:color w:val="000000"/>
                <w:sz w:val="22"/>
                <w:szCs w:val="22"/>
                <w:u w:val="none"/>
              </w:rPr>
            </w:pPr>
            <w:r>
              <w:rPr>
                <w:rFonts w:hint="eastAsia" w:ascii="宋体" w:hAnsi="宋体" w:eastAsia="宋体" w:cs="Arial"/>
                <w:b/>
                <w:kern w:val="2"/>
                <w:sz w:val="24"/>
                <w:szCs w:val="24"/>
                <w:lang w:val="en-US" w:eastAsia="zh-CN" w:bidi="ar-SA"/>
              </w:rPr>
              <w:t>技术部分</w:t>
            </w:r>
            <w:r>
              <w:rPr>
                <w:rFonts w:hint="eastAsia" w:ascii="宋体" w:hAnsi="宋体" w:cs="Arial"/>
                <w:b/>
                <w:kern w:val="2"/>
                <w:sz w:val="24"/>
                <w:szCs w:val="24"/>
                <w:lang w:val="en-US" w:eastAsia="zh-CN" w:bidi="ar-SA"/>
              </w:rPr>
              <w:t>70</w:t>
            </w:r>
            <w:r>
              <w:rPr>
                <w:rFonts w:hint="eastAsia" w:ascii="宋体" w:hAnsi="宋体" w:eastAsia="宋体" w:cs="Arial"/>
                <w:b/>
                <w:kern w:val="2"/>
                <w:sz w:val="24"/>
                <w:szCs w:val="24"/>
                <w:lang w:val="en-US" w:eastAsia="zh-CN" w:bidi="ar-SA"/>
              </w:rPr>
              <w:t>分</w:t>
            </w: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8B928">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项目团队</w:t>
            </w:r>
          </w:p>
          <w:p w14:paraId="7B4B2EFE">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（20分）</w:t>
            </w:r>
          </w:p>
        </w:tc>
        <w:tc>
          <w:tcPr>
            <w:tcW w:w="3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D0EAB">
            <w:pPr>
              <w:numPr>
                <w:ilvl w:val="0"/>
                <w:numId w:val="3"/>
              </w:numPr>
              <w:spacing w:line="276"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项目负责人具有招标师、一级建造师、一级造价师、高级职称的每提供一个得1分，本项满分4分。</w:t>
            </w:r>
          </w:p>
          <w:p w14:paraId="6E64A76F">
            <w:pPr>
              <w:numPr>
                <w:ilvl w:val="0"/>
                <w:numId w:val="3"/>
              </w:numPr>
              <w:spacing w:line="276" w:lineRule="auto"/>
              <w:jc w:val="left"/>
              <w:rPr>
                <w:rFonts w:hint="eastAsia" w:ascii="宋体" w:hAnsi="宋体" w:eastAsia="宋体" w:cs="宋体"/>
                <w:sz w:val="24"/>
                <w:szCs w:val="24"/>
              </w:rPr>
            </w:pPr>
            <w:r>
              <w:rPr>
                <w:rFonts w:ascii="宋体" w:hAnsi="宋体" w:eastAsia="宋体" w:cs="宋体"/>
                <w:sz w:val="24"/>
                <w:szCs w:val="24"/>
              </w:rPr>
              <w:t>团队成员具有招采人员专业技术能力证书或招标师证书，每人得1分，</w:t>
            </w:r>
            <w:r>
              <w:rPr>
                <w:rFonts w:hint="eastAsia" w:ascii="宋体" w:hAnsi="宋体" w:eastAsia="宋体" w:cs="宋体"/>
                <w:sz w:val="24"/>
                <w:szCs w:val="24"/>
                <w:lang w:val="en-US" w:eastAsia="zh-CN"/>
              </w:rPr>
              <w:t>本项满分4分</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cs="宋体"/>
                <w:sz w:val="24"/>
                <w:szCs w:val="24"/>
                <w:lang w:val="en-US" w:eastAsia="zh-CN"/>
              </w:rPr>
              <w:t>3</w:t>
            </w:r>
            <w:r>
              <w:rPr>
                <w:rFonts w:ascii="宋体" w:hAnsi="宋体" w:eastAsia="宋体" w:cs="宋体"/>
                <w:sz w:val="24"/>
                <w:szCs w:val="24"/>
              </w:rPr>
              <w:t>、团队成员中具有二级造价师或二级建造师证书，每人可得</w:t>
            </w:r>
            <w:r>
              <w:rPr>
                <w:rFonts w:hint="eastAsia" w:ascii="宋体" w:hAnsi="宋体" w:eastAsia="宋体" w:cs="宋体"/>
                <w:sz w:val="24"/>
                <w:szCs w:val="24"/>
                <w:lang w:val="en-US" w:eastAsia="zh-CN"/>
              </w:rPr>
              <w:t>0.5</w:t>
            </w:r>
            <w:r>
              <w:rPr>
                <w:rFonts w:ascii="宋体" w:hAnsi="宋体" w:eastAsia="宋体" w:cs="宋体"/>
                <w:sz w:val="24"/>
                <w:szCs w:val="24"/>
              </w:rPr>
              <w:t>分</w:t>
            </w:r>
            <w:r>
              <w:rPr>
                <w:rFonts w:hint="eastAsia" w:ascii="宋体" w:hAnsi="宋体" w:eastAsia="宋体" w:cs="宋体"/>
                <w:sz w:val="24"/>
                <w:szCs w:val="24"/>
                <w:lang w:eastAsia="zh-CN"/>
              </w:rPr>
              <w:t>，</w:t>
            </w:r>
            <w:r>
              <w:rPr>
                <w:rFonts w:ascii="宋体" w:hAnsi="宋体" w:eastAsia="宋体" w:cs="宋体"/>
                <w:sz w:val="24"/>
                <w:szCs w:val="24"/>
              </w:rPr>
              <w:t>具有一级造价师或一级建造师证书，每人可得</w:t>
            </w:r>
            <w:r>
              <w:rPr>
                <w:rFonts w:hint="eastAsia" w:ascii="宋体" w:hAnsi="宋体" w:eastAsia="宋体" w:cs="宋体"/>
                <w:sz w:val="24"/>
                <w:szCs w:val="24"/>
                <w:lang w:val="en-US" w:eastAsia="zh-CN"/>
              </w:rPr>
              <w:t>1</w:t>
            </w:r>
            <w:r>
              <w:rPr>
                <w:rFonts w:ascii="宋体" w:hAnsi="宋体" w:eastAsia="宋体" w:cs="宋体"/>
                <w:sz w:val="24"/>
                <w:szCs w:val="24"/>
              </w:rPr>
              <w:t>分，</w:t>
            </w:r>
            <w:r>
              <w:rPr>
                <w:rFonts w:hint="eastAsia" w:ascii="宋体" w:hAnsi="宋体" w:eastAsia="宋体" w:cs="宋体"/>
                <w:sz w:val="24"/>
                <w:szCs w:val="24"/>
                <w:lang w:val="en-US" w:eastAsia="zh-CN"/>
              </w:rPr>
              <w:t>本项满分5分</w:t>
            </w:r>
            <w:r>
              <w:rPr>
                <w:rFonts w:ascii="宋体" w:hAnsi="宋体" w:eastAsia="宋体" w:cs="宋体"/>
                <w:sz w:val="24"/>
                <w:szCs w:val="24"/>
              </w:rPr>
              <w:t>。</w:t>
            </w:r>
          </w:p>
          <w:p w14:paraId="08FA812D">
            <w:pPr>
              <w:numPr>
                <w:ilvl w:val="0"/>
                <w:numId w:val="0"/>
              </w:numPr>
              <w:spacing w:line="276" w:lineRule="auto"/>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、团队成员具有高级职称及以上的每提供一个得1分，</w:t>
            </w:r>
            <w:r>
              <w:rPr>
                <w:rFonts w:ascii="宋体" w:hAnsi="宋体" w:eastAsia="宋体" w:cs="宋体"/>
                <w:sz w:val="24"/>
                <w:szCs w:val="24"/>
              </w:rPr>
              <w:t>本项最高得</w:t>
            </w:r>
            <w:r>
              <w:rPr>
                <w:rFonts w:hint="eastAsia" w:ascii="宋体" w:hAnsi="宋体" w:eastAsia="宋体" w:cs="宋体"/>
                <w:sz w:val="24"/>
                <w:szCs w:val="24"/>
                <w:lang w:val="en-US" w:eastAsia="zh-CN"/>
              </w:rPr>
              <w:t>4</w:t>
            </w:r>
            <w:r>
              <w:rPr>
                <w:rFonts w:ascii="宋体" w:hAnsi="宋体" w:eastAsia="宋体" w:cs="宋体"/>
                <w:sz w:val="24"/>
                <w:szCs w:val="24"/>
              </w:rPr>
              <w:t>分。</w:t>
            </w:r>
          </w:p>
          <w:p w14:paraId="0BD99092">
            <w:pPr>
              <w:numPr>
                <w:ilvl w:val="0"/>
                <w:numId w:val="0"/>
              </w:numPr>
              <w:spacing w:line="276"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5</w:t>
            </w:r>
            <w:bookmarkStart w:id="0" w:name="_GoBack"/>
            <w:bookmarkEnd w:id="0"/>
            <w:r>
              <w:rPr>
                <w:rFonts w:hint="eastAsia" w:ascii="宋体" w:hAnsi="宋体" w:eastAsia="宋体" w:cs="宋体"/>
                <w:sz w:val="24"/>
                <w:szCs w:val="24"/>
                <w:lang w:val="en-US" w:eastAsia="zh-CN"/>
              </w:rPr>
              <w:t>、团队成员具有省级及以上政府部门或行业相关协会颁发的荣誉证书的，每提供1个得1分，满分3分。</w:t>
            </w:r>
          </w:p>
          <w:p w14:paraId="7855851E">
            <w:pPr>
              <w:numPr>
                <w:ilvl w:val="0"/>
                <w:numId w:val="0"/>
              </w:numPr>
              <w:spacing w:line="276" w:lineRule="auto"/>
              <w:jc w:val="left"/>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sz w:val="24"/>
                <w:szCs w:val="24"/>
                <w:lang w:val="en-US" w:eastAsia="zh-CN"/>
              </w:rPr>
              <w:t>项目团队</w:t>
            </w:r>
            <w:r>
              <w:rPr>
                <w:rFonts w:hint="eastAsia" w:ascii="宋体" w:hAnsi="宋体" w:eastAsia="宋体" w:cs="宋体"/>
                <w:sz w:val="24"/>
                <w:szCs w:val="24"/>
              </w:rPr>
              <w:t>成员证书</w:t>
            </w:r>
            <w:r>
              <w:rPr>
                <w:rFonts w:hint="eastAsia" w:ascii="宋体" w:hAnsi="宋体" w:eastAsia="宋体" w:cs="宋体"/>
                <w:sz w:val="24"/>
                <w:szCs w:val="24"/>
                <w:lang w:val="en-US" w:eastAsia="zh-CN"/>
              </w:rPr>
              <w:t>扫描件</w:t>
            </w:r>
            <w:r>
              <w:rPr>
                <w:rFonts w:hint="eastAsia" w:ascii="宋体" w:hAnsi="宋体" w:eastAsia="宋体" w:cs="宋体"/>
                <w:sz w:val="24"/>
                <w:szCs w:val="24"/>
              </w:rPr>
              <w:t>，项目小组成员须为申请人单位的在职职工，由政府社保主管部门出具的由申请人为其缴纳的</w:t>
            </w:r>
            <w:r>
              <w:rPr>
                <w:rFonts w:hint="eastAsia" w:ascii="宋体" w:hAnsi="宋体" w:cs="宋体"/>
                <w:sz w:val="24"/>
                <w:szCs w:val="24"/>
                <w:lang w:eastAsia="zh-CN"/>
              </w:rPr>
              <w:t>不</w:t>
            </w:r>
            <w:r>
              <w:rPr>
                <w:rFonts w:hint="eastAsia" w:ascii="宋体" w:hAnsi="宋体" w:eastAsia="宋体" w:cs="宋体"/>
                <w:sz w:val="24"/>
                <w:szCs w:val="24"/>
                <w:lang w:val="en-US" w:eastAsia="zh-CN"/>
              </w:rPr>
              <w:t>少于6个月</w:t>
            </w:r>
            <w:r>
              <w:rPr>
                <w:rFonts w:hint="eastAsia" w:ascii="宋体" w:hAnsi="宋体" w:eastAsia="宋体" w:cs="宋体"/>
                <w:sz w:val="24"/>
                <w:szCs w:val="24"/>
              </w:rPr>
              <w:t>社保证明明细。</w:t>
            </w:r>
          </w:p>
          <w:p w14:paraId="644C9FC8">
            <w:pPr>
              <w:numPr>
                <w:ilvl w:val="0"/>
                <w:numId w:val="0"/>
              </w:numPr>
              <w:spacing w:line="276"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项目团队</w:t>
            </w:r>
            <w:r>
              <w:rPr>
                <w:rFonts w:hint="eastAsia" w:ascii="宋体" w:hAnsi="宋体" w:eastAsia="宋体" w:cs="宋体"/>
                <w:sz w:val="24"/>
                <w:szCs w:val="24"/>
              </w:rPr>
              <w:t>成员证书</w:t>
            </w:r>
            <w:r>
              <w:rPr>
                <w:rFonts w:hint="eastAsia" w:ascii="宋体" w:hAnsi="宋体" w:eastAsia="宋体" w:cs="宋体"/>
                <w:sz w:val="24"/>
                <w:szCs w:val="24"/>
                <w:lang w:val="en-US" w:eastAsia="zh-CN"/>
              </w:rPr>
              <w:t>不重复计分。</w:t>
            </w:r>
          </w:p>
        </w:tc>
      </w:tr>
      <w:tr w14:paraId="50025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1"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5D6CF">
            <w:pPr>
              <w:jc w:val="center"/>
              <w:rPr>
                <w:rFonts w:hint="eastAsia" w:ascii="幼圆" w:hAnsi="幼圆" w:eastAsia="幼圆" w:cs="幼圆"/>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1141D">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采购方案</w:t>
            </w:r>
          </w:p>
          <w:p w14:paraId="342FD2D0">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（24分）</w:t>
            </w:r>
          </w:p>
        </w:tc>
        <w:tc>
          <w:tcPr>
            <w:tcW w:w="3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89CB3">
            <w:pPr>
              <w:numPr>
                <w:ilvl w:val="0"/>
                <w:numId w:val="0"/>
              </w:numPr>
              <w:spacing w:line="276" w:lineRule="auto"/>
              <w:jc w:val="left"/>
              <w:rPr>
                <w:rFonts w:hint="eastAsia" w:ascii="宋体" w:hAnsi="宋体" w:eastAsia="宋体" w:cs="宋体"/>
                <w:sz w:val="24"/>
                <w:szCs w:val="24"/>
              </w:rPr>
            </w:pPr>
            <w:r>
              <w:rPr>
                <w:rFonts w:hint="eastAsia" w:ascii="宋体" w:hAnsi="宋体" w:eastAsia="宋体" w:cs="宋体"/>
                <w:sz w:val="24"/>
                <w:szCs w:val="24"/>
              </w:rPr>
              <w:t>1、采购代理服务整体方案体系内容详实，符合法律规定，契合实际，保障措施科学合理、有针对性，人员分工明确，工作流程完善，由评标委员会根据上述情况进行综合评分：（1）内容全面完整，方案详实的，得7-8分；（2）内容基本涉及，但深度不够的，得5-6分；（3）内容不完整，漏项较多，不容易识别的，得1-4分。不提供的不得分。本小项满分8分。</w:t>
            </w:r>
          </w:p>
          <w:p w14:paraId="041AE377">
            <w:pPr>
              <w:numPr>
                <w:ilvl w:val="0"/>
                <w:numId w:val="0"/>
              </w:numPr>
              <w:spacing w:line="276" w:lineRule="auto"/>
              <w:jc w:val="left"/>
              <w:rPr>
                <w:rFonts w:hint="eastAsia" w:ascii="宋体" w:hAnsi="宋体" w:eastAsia="宋体" w:cs="宋体"/>
                <w:sz w:val="24"/>
                <w:szCs w:val="24"/>
              </w:rPr>
            </w:pPr>
            <w:r>
              <w:rPr>
                <w:rFonts w:hint="eastAsia" w:ascii="宋体" w:hAnsi="宋体" w:eastAsia="宋体" w:cs="宋体"/>
                <w:sz w:val="24"/>
                <w:szCs w:val="24"/>
              </w:rPr>
              <w:t>2、对加强服务质量、提高业主和投标人满意度、规范执业、打造企业品牌、档案管理、业务培训与指导的内部管理措施；对如何保证招标文件编制质量和开评标不出现失误，有具体应对措施和解决办法，有两级(或以上)内部审核机制和风险预判机制及问题处理措施，由评标委员会根据上述情况进行综合评分：（1）内容全面完整，方案详实的，得7-8分；（2）内容基本涉及，但深度不够的，得5-6分；（3）内容不完整，漏项较多，不容易识别的，得1-4分。不提供的不得分。本小项满分8分。</w:t>
            </w:r>
          </w:p>
          <w:p w14:paraId="53F22807">
            <w:pPr>
              <w:numPr>
                <w:ilvl w:val="0"/>
                <w:numId w:val="0"/>
              </w:numPr>
              <w:spacing w:line="276" w:lineRule="auto"/>
              <w:jc w:val="left"/>
              <w:rPr>
                <w:rFonts w:hint="eastAsia" w:ascii="宋体" w:hAnsi="宋体" w:cs="Calibri"/>
                <w:kern w:val="0"/>
                <w:sz w:val="24"/>
              </w:rPr>
            </w:pPr>
            <w:r>
              <w:rPr>
                <w:rFonts w:hint="eastAsia" w:ascii="宋体" w:hAnsi="宋体" w:eastAsia="宋体" w:cs="宋体"/>
                <w:sz w:val="24"/>
                <w:szCs w:val="24"/>
              </w:rPr>
              <w:t>3、比选申请人具有完善的内部控制管理制度，由评标委员会根据下列内容进行综合评分。（1）内容全面完整，方案详实的，得7-8分；（2）内容基本涉及，但深度不够的，得5-6分；（3）内容不完整，漏项较多，不容易识别的，得1-4分。不提供的不得分。本小项满分8分。</w:t>
            </w:r>
          </w:p>
        </w:tc>
      </w:tr>
      <w:tr w14:paraId="4A55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9"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63F21">
            <w:pPr>
              <w:jc w:val="center"/>
              <w:rPr>
                <w:rFonts w:hint="eastAsia" w:ascii="幼圆" w:hAnsi="幼圆" w:eastAsia="幼圆" w:cs="幼圆"/>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8C86D">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信息化建设</w:t>
            </w:r>
          </w:p>
          <w:p w14:paraId="03E3D680">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水平</w:t>
            </w:r>
          </w:p>
          <w:p w14:paraId="3067FC38">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(8分)</w:t>
            </w:r>
          </w:p>
        </w:tc>
        <w:tc>
          <w:tcPr>
            <w:tcW w:w="3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A005E">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1.供应商具有网上（电子）开标及评标系统，能实现项目全流程网上报名下载文件、网上评标，收退保证金功能的，得2分。本小项满分2分。</w:t>
            </w:r>
          </w:p>
          <w:p w14:paraId="18B54FC8">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备注：投标文件中提供网站、交易平台截图（体现系统功能并加盖单位公章）。</w:t>
            </w:r>
          </w:p>
          <w:p w14:paraId="2C97FBFB">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2.供应商具有电子招标投标系统交易平台认证证书的得2分。本小项满分2分。</w:t>
            </w:r>
          </w:p>
          <w:p w14:paraId="670CDCB2">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备注：提供证书扫描件。</w:t>
            </w:r>
          </w:p>
          <w:p w14:paraId="397C6FA3">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3.供应商具有专家抽取系统的得1分，且专家人数≥3000人的，得3分，本小项满分4分。</w:t>
            </w:r>
          </w:p>
          <w:p w14:paraId="13E84FDA">
            <w:pPr>
              <w:spacing w:line="276" w:lineRule="auto"/>
              <w:jc w:val="left"/>
              <w:rPr>
                <w:rFonts w:hint="eastAsia" w:ascii="宋体" w:hAnsi="宋体" w:cs="Calibri"/>
                <w:kern w:val="0"/>
                <w:sz w:val="24"/>
              </w:rPr>
            </w:pPr>
            <w:r>
              <w:rPr>
                <w:rFonts w:hint="eastAsia" w:ascii="宋体" w:hAnsi="宋体" w:eastAsia="宋体" w:cs="Calibri"/>
                <w:kern w:val="0"/>
                <w:sz w:val="24"/>
                <w:lang w:val="en-US" w:eastAsia="zh-CN"/>
              </w:rPr>
              <w:t>注：提供软件或网页截图复印件加盖供应商公章装订进投标文件中，未提供不得分</w:t>
            </w:r>
            <w:r>
              <w:rPr>
                <w:rFonts w:hint="eastAsia"/>
                <w:spacing w:val="-3"/>
                <w:sz w:val="21"/>
                <w:highlight w:val="none"/>
              </w:rPr>
              <w:t>。</w:t>
            </w:r>
          </w:p>
        </w:tc>
      </w:tr>
      <w:tr w14:paraId="76626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1"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6526F">
            <w:pPr>
              <w:jc w:val="center"/>
              <w:rPr>
                <w:rFonts w:hint="eastAsia" w:ascii="幼圆" w:hAnsi="幼圆" w:eastAsia="幼圆" w:cs="幼圆"/>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FA516">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开评标场地</w:t>
            </w:r>
          </w:p>
          <w:p w14:paraId="7447EABB">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（15分）</w:t>
            </w:r>
          </w:p>
        </w:tc>
        <w:tc>
          <w:tcPr>
            <w:tcW w:w="3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FB724">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1、供应商在合肥市区具有固定办公场所及相关软硬件设施,且面积为：</w:t>
            </w:r>
          </w:p>
          <w:p w14:paraId="38C8402F">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1）5000平方米及以上的得7分；（2）5000（含）-4000（不含）平方米的得5分；（3）4000（含）-3000（不含）平方米的得3分；（4）3000（含）-2000（不含）平方米的得1分；在合肥市区办公场所面积2000平米以下的得0分。本小项满分7分。</w:t>
            </w:r>
          </w:p>
          <w:p w14:paraId="6D324633">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备注：比选申请文件中提供在合肥市区办公场所的产权证明（或租赁合同）及主要软硬件情况说明等。</w:t>
            </w:r>
          </w:p>
          <w:p w14:paraId="48CDAD7C">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2、供应商在本市区投标单位办公场所内每具有1间固定开标室，得0.5分，满分4分；</w:t>
            </w:r>
          </w:p>
          <w:p w14:paraId="3C709B4F">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供应商在本市区参选单位办公场所内具有1间固定评标室，得0.5分，满分4分。</w:t>
            </w:r>
          </w:p>
          <w:p w14:paraId="0AA3BD2A">
            <w:pPr>
              <w:spacing w:line="276" w:lineRule="auto"/>
              <w:jc w:val="left"/>
              <w:rPr>
                <w:rFonts w:hint="default" w:ascii="宋体" w:hAnsi="宋体" w:eastAsia="宋体" w:cs="Calibri"/>
                <w:kern w:val="0"/>
                <w:sz w:val="24"/>
                <w:lang w:val="en-US" w:eastAsia="zh-CN"/>
              </w:rPr>
            </w:pPr>
            <w:r>
              <w:rPr>
                <w:rFonts w:hint="eastAsia" w:ascii="宋体" w:hAnsi="宋体" w:eastAsia="宋体" w:cs="Calibri"/>
                <w:kern w:val="0"/>
                <w:sz w:val="24"/>
                <w:lang w:val="en-US" w:eastAsia="zh-CN"/>
              </w:rPr>
              <w:t>备注：提供加盖单位公章的场所图片。</w:t>
            </w:r>
          </w:p>
        </w:tc>
      </w:tr>
      <w:tr w14:paraId="290D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trPr>
        <w:tc>
          <w:tcPr>
            <w:tcW w:w="4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172E1">
            <w:pPr>
              <w:jc w:val="center"/>
              <w:rPr>
                <w:rFonts w:hint="eastAsia" w:ascii="幼圆" w:hAnsi="幼圆" w:eastAsia="幼圆" w:cs="幼圆"/>
                <w:b/>
                <w:i w:val="0"/>
                <w:color w:val="000000"/>
                <w:sz w:val="22"/>
                <w:szCs w:val="22"/>
                <w:u w:val="none"/>
              </w:rPr>
            </w:pPr>
          </w:p>
        </w:tc>
        <w:tc>
          <w:tcPr>
            <w:tcW w:w="68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B69BC">
            <w:pPr>
              <w:spacing w:line="276" w:lineRule="auto"/>
              <w:jc w:val="center"/>
              <w:rPr>
                <w:rFonts w:hint="eastAsia" w:ascii="宋体" w:hAnsi="宋体" w:cs="Calibri"/>
                <w:kern w:val="0"/>
                <w:sz w:val="24"/>
                <w:lang w:val="en-US" w:eastAsia="zh-CN"/>
              </w:rPr>
            </w:pPr>
            <w:r>
              <w:rPr>
                <w:rFonts w:hint="eastAsia" w:ascii="宋体" w:hAnsi="宋体" w:cs="Calibri"/>
                <w:kern w:val="0"/>
                <w:sz w:val="24"/>
                <w:lang w:val="en-US" w:eastAsia="zh-CN"/>
              </w:rPr>
              <w:t>增值服务</w:t>
            </w:r>
          </w:p>
          <w:p w14:paraId="6A809EE6">
            <w:pPr>
              <w:spacing w:line="276" w:lineRule="auto"/>
              <w:jc w:val="center"/>
              <w:rPr>
                <w:rFonts w:hint="default" w:ascii="宋体" w:hAnsi="宋体" w:cs="Calibri"/>
                <w:kern w:val="0"/>
                <w:sz w:val="24"/>
                <w:lang w:val="en-US" w:eastAsia="zh-CN"/>
              </w:rPr>
            </w:pPr>
            <w:r>
              <w:rPr>
                <w:rFonts w:hint="eastAsia" w:ascii="宋体" w:hAnsi="宋体" w:cs="Calibri"/>
                <w:kern w:val="0"/>
                <w:sz w:val="24"/>
                <w:lang w:val="en-US" w:eastAsia="zh-CN"/>
              </w:rPr>
              <w:t>（3分）</w:t>
            </w:r>
          </w:p>
        </w:tc>
        <w:tc>
          <w:tcPr>
            <w:tcW w:w="3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A861B">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根据供应商提供的增值服务方案（如培训、免费提供场地等）的完整性、合理性、针对性、可行性进行综合评分：</w:t>
            </w:r>
          </w:p>
          <w:p w14:paraId="0C7B18BC">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（1）内容全面完整，方案详实完善的，得3分；</w:t>
            </w:r>
          </w:p>
          <w:p w14:paraId="3EFF4ADD">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（2）内容基本涉及，方案基本详实完善的，得2分；</w:t>
            </w:r>
          </w:p>
          <w:p w14:paraId="46A11A4D">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（3）内容基本涉及，方案深度不够的，得1分；</w:t>
            </w:r>
          </w:p>
          <w:p w14:paraId="01ACBF5C">
            <w:pPr>
              <w:spacing w:line="276" w:lineRule="auto"/>
              <w:jc w:val="left"/>
              <w:rPr>
                <w:rFonts w:hint="eastAsia" w:ascii="宋体" w:hAnsi="宋体" w:eastAsia="宋体" w:cs="Calibri"/>
                <w:kern w:val="0"/>
                <w:sz w:val="24"/>
                <w:lang w:val="en-US" w:eastAsia="zh-CN"/>
              </w:rPr>
            </w:pPr>
            <w:r>
              <w:rPr>
                <w:rFonts w:hint="eastAsia" w:ascii="宋体" w:hAnsi="宋体" w:eastAsia="宋体" w:cs="Calibri"/>
                <w:kern w:val="0"/>
                <w:sz w:val="24"/>
                <w:lang w:val="en-US" w:eastAsia="zh-CN"/>
              </w:rPr>
              <w:t>（4）内容不完整，漏项较多，得0分；</w:t>
            </w:r>
          </w:p>
          <w:p w14:paraId="0FBB7536">
            <w:pPr>
              <w:spacing w:line="276" w:lineRule="auto"/>
              <w:jc w:val="left"/>
              <w:rPr>
                <w:rFonts w:hint="eastAsia" w:ascii="宋体" w:hAnsi="宋体" w:cs="Calibri"/>
                <w:kern w:val="0"/>
                <w:sz w:val="24"/>
                <w:lang w:val="en-US" w:eastAsia="zh-CN"/>
              </w:rPr>
            </w:pPr>
            <w:r>
              <w:rPr>
                <w:rFonts w:hint="eastAsia" w:ascii="宋体" w:hAnsi="宋体" w:eastAsia="宋体" w:cs="Calibri"/>
                <w:kern w:val="0"/>
                <w:sz w:val="24"/>
                <w:lang w:val="en-US" w:eastAsia="zh-CN"/>
              </w:rPr>
              <w:t>（5）没有不得分。</w:t>
            </w:r>
          </w:p>
        </w:tc>
      </w:tr>
    </w:tbl>
    <w:p w14:paraId="7783274E">
      <w:pPr>
        <w:rPr>
          <w:rFonts w:hint="eastAsia" w:ascii="宋体" w:hAnsi="宋体" w:eastAsia="宋体"/>
          <w:lang w:val="en-US" w:eastAsia="zh-CN"/>
        </w:rPr>
      </w:pPr>
    </w:p>
    <w:p w14:paraId="7AE16D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65D00"/>
    <w:multiLevelType w:val="singleLevel"/>
    <w:tmpl w:val="BD665D00"/>
    <w:lvl w:ilvl="0" w:tentative="0">
      <w:start w:val="1"/>
      <w:numFmt w:val="decimal"/>
      <w:lvlText w:val="%1."/>
      <w:lvlJc w:val="left"/>
      <w:pPr>
        <w:tabs>
          <w:tab w:val="left" w:pos="312"/>
        </w:tabs>
      </w:pPr>
    </w:lvl>
  </w:abstractNum>
  <w:abstractNum w:abstractNumId="1">
    <w:nsid w:val="6A1451E3"/>
    <w:multiLevelType w:val="singleLevel"/>
    <w:tmpl w:val="6A1451E3"/>
    <w:lvl w:ilvl="0" w:tentative="0">
      <w:start w:val="1"/>
      <w:numFmt w:val="decimal"/>
      <w:suff w:val="nothing"/>
      <w:lvlText w:val="（%1）"/>
      <w:lvlJc w:val="left"/>
    </w:lvl>
  </w:abstractNum>
  <w:abstractNum w:abstractNumId="2">
    <w:nsid w:val="6AB2B5AC"/>
    <w:multiLevelType w:val="singleLevel"/>
    <w:tmpl w:val="6AB2B5AC"/>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B5FD8"/>
    <w:rsid w:val="1A3E4DF3"/>
    <w:rsid w:val="26F72296"/>
    <w:rsid w:val="37A40B44"/>
    <w:rsid w:val="41B42A8C"/>
    <w:rsid w:val="658B5FD8"/>
    <w:rsid w:val="6F58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line="360" w:lineRule="auto"/>
      <w:ind w:firstLine="482"/>
      <w:jc w:val="center"/>
      <w:outlineLvl w:val="0"/>
    </w:pPr>
    <w:rPr>
      <w:rFonts w:ascii="黑体" w:hAnsi="宋体" w:eastAsia="黑体" w:cs="Arial"/>
      <w:bCs/>
      <w:color w:val="000000"/>
      <w:sz w:val="32"/>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2506</Words>
  <Characters>2614</Characters>
  <Lines>0</Lines>
  <Paragraphs>0</Paragraphs>
  <TotalTime>0</TotalTime>
  <ScaleCrop>false</ScaleCrop>
  <LinksUpToDate>false</LinksUpToDate>
  <CharactersWithSpaces>2614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2024-12-25T07:53:00Z</dcterms:created>
  <dc:creator>找北</dc:creator>
  <cp:lastModifiedBy>tr</cp:lastModifiedBy>
  <dcterms:modified xsi:type="dcterms:W3CDTF">2025-01-08T07:41:27Z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ED1FD9B072B7428D9A0E7744F65B1E01_13</vt:lpwstr>
  </property>
  <property fmtid="{D5CDD505-2E9C-101B-9397-08002B2CF9AE}" pid="4" name="KSOTemplateDocerSaveRecord">
    <vt:lpwstr>eyJoZGlkIjoiYWExYjQ1ZTE3MDJkZjdkNjhiYTY1OTFlY2I3NGQxNDQiLCJ1c2VySWQiOiIzNjc1OTExNTIifQ==</vt:lpwstr>
  </property>
</Properties>
</file>